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34175cf641fd40b7" /><Relationship Type="http://schemas.openxmlformats.org/package/2006/relationships/metadata/core-properties" Target="/package/services/metadata/core-properties/5493d9da4a3e48f1bac1512dd0c4634e.psmdcp" Id="Rc42d4988af5342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12976"/>
                <wp:effectExtent l="0" t="0" r="0" b="0"/>
                <wp:wrapNone/>
                <wp:docPr id="275" name="Rectangle 275"/>
                <wp:cNvGraphicFramePr/>
                <a:graphic xmlns:a="http://schemas.openxmlformats.org/drawingml/2006/main">
                  <a:graphicData uri="http://schemas.microsoft.com/office/word/2010/wordprocessingShape">
                    <wps:wsp>
                      <wps:cNvSpPr/>
                      <wps:spPr bwMode="auto">
                        <a:xfrm>
                          <a:off x="541800" y="1205640"/>
                          <a:ext cx="6508440" cy="841297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Nuit Sylvestre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27 rue sainte genevieve</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P273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Éviter le rejet dans l'environnement.</w:t>
                                  </w: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P501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Éliminer le récipient dans une installation de recyclage ou d'élimination des déchets approuvée conformément à la réglementation locale.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093"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5-Methyl-2-hepten-4-one (81925-81-7) |</w:t>
                                  </w:r>
                                </w:p>
                                <w:p>
                                  <w:pPr>
                                    <w:spacing w:before="0" w:after="0" w:line="200" w:lineRule="exact"/>
                                    <w:jc w:val="left"/>
                                    <w:rPr>
                                      <w:spacing w:val="-20"/>
                                    </w:rPr>
                                  </w:pPr>
                                  <w:r>
                                    <w:rPr>
                                      <w:rFonts w:ascii="Arial" w:hAnsi="Arial" w:cs="Arial"/>
                                      <w:b w:val="false"/>
                                      <w:i w:val="false"/>
                                      <w:strike w:val="false"/>
                                      <w:color w:val="000000"/>
                                      <w:spacing w:val="-10"/>
                                      <w:sz w:val="20"/>
                                      <w:u w:val="none"/>
                                    </w:rPr>
                                    <w:t xml:space="preserve">[3R-(3α,3aβ,6β,7β,8aα)]-octahydro-6-methoxy-3,6,8,8-tetramethyl-1H-3a,7-methanoazulene</w:t>
                                  </w:r>
                                </w:p>
                                <w:p>
                                  <w:pPr>
                                    <w:spacing w:before="0" w:after="0" w:line="200" w:lineRule="exact"/>
                                    <w:jc w:val="left"/>
                                  </w:pPr>
                                  <w:r>
                                    <w:rPr>
                                      <w:rFonts w:ascii="Arial" w:hAnsi="Arial" w:cs="Arial"/>
                                      <w:b w:val="false"/>
                                      <w:i w:val="false"/>
                                      <w:strike w:val="false"/>
                                      <w:color w:val="000000"/>
                                      <w:spacing w:val="0"/>
                                      <w:sz w:val="20"/>
                                      <w:u w:val="none"/>
                                    </w:rPr>
                                    <w:t xml:space="preserve">(19870-74-7) | (R)-p-mentha-1,8-diène (5989-27-5) | Coumarin (91-64-5) |</w:t>
                                  </w:r>
                                </w:p>
                                <w:p>
                                  <w:pPr>
                                    <w:spacing w:before="0" w:after="0" w:line="200" w:lineRule="exact"/>
                                    <w:jc w:val="left"/>
                                  </w:pPr>
                                  <w:r>
                                    <w:rPr>
                                      <w:rFonts w:ascii="Arial" w:hAnsi="Arial" w:cs="Arial"/>
                                      <w:b w:val="false"/>
                                      <w:i w:val="false"/>
                                      <w:strike w:val="false"/>
                                      <w:color w:val="000000"/>
                                      <w:spacing w:val="0"/>
                                      <w:sz w:val="20"/>
                                      <w:u w:val="none"/>
                                    </w:rPr>
                                    <w:t xml:space="preserve">trans-menthone (89-80-5) | Isomenthone (491-07-6) . Peut produire une réaction</w:t>
                                  </w:r>
                                </w:p>
                                <w:p>
                                  <w:pPr>
                                    <w:spacing w:before="0" w:after="0" w:line="200" w:lineRule="exact"/>
                                    <w:jc w:val="left"/>
                                  </w:pPr>
                                  <w:r>
                                    <w:rPr>
                                      <w:rFonts w:ascii="Arial" w:hAnsi="Arial" w:cs="Arial"/>
                                      <w:b w:val="false"/>
                                      <w:i w:val="false"/>
                                      <w:strike w:val="false"/>
                                      <w:color w:val="000000"/>
                                      <w:spacing w:val="0"/>
                                      <w:sz w:val="20"/>
                                      <w:u w:val="none"/>
                                    </w:rPr>
                                    <w:t xml:space="preserve">allergique.</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103"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 PBT.</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matière vPvB.</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Autres dangers n'entraînant pas la classification</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Conformément au règlement (UE) 1907/2006, aucune substance n'est évaluée comme PBT ou vPvB.</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benzoate de benzyle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120-51-4</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607-085-00-9</w:t>
                                  </w:r>
                                </w:p>
                                <w:p>
                                  <w:pPr>
                                    <w:spacing w:before="0" w:after="0" w:line="160" w:lineRule="exact"/>
                                    <w:jc w:val="left"/>
                                  </w:pPr>
                                  <w:r>
                                    <w:rPr>
                                      <w:rFonts w:ascii="Arial" w:hAnsi="Arial" w:cs="Arial"/>
                                      <w:b w:val="false"/>
                                      <w:i w:val="false"/>
                                      <w:strike w:val="false"/>
                                      <w:color w:val="000000"/>
                                      <w:spacing w:val="0"/>
                                      <w:sz w:val="16"/>
                                      <w:u w:val="none"/>
                                    </w:rPr>
                                    <w:t xml:space="preserve">N°CE : 204-402-9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1,45325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trans-menthone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89-80-5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201-941-1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0,33325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[3R-(3α,3aβ,6β,7β,8aα)]-octa hydro-6-methoxy-3,6,8,8-tetra methyl-1H-3a,7-methanoazul ene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19870-74-7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243-384-7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0,29175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106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(R)-p-mentha-1,8-diène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5989-27-5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601-096-00-2</w:t>
                                  </w:r>
                                </w:p>
                                <w:p>
                                  <w:pPr>
                                    <w:spacing w:before="0" w:after="0" w:line="160" w:lineRule="exact"/>
                                    <w:jc w:val="left"/>
                                  </w:pPr>
                                  <w:r>
                                    <w:rPr>
                                      <w:rFonts w:ascii="Arial" w:hAnsi="Arial" w:cs="Arial"/>
                                      <w:b w:val="false"/>
                                      <w:i w:val="false"/>
                                      <w:strike w:val="false"/>
                                      <w:color w:val="000000"/>
                                      <w:spacing w:val="0"/>
                                      <w:sz w:val="16"/>
                                      <w:u w:val="none"/>
                                    </w:rPr>
                                    <w:t xml:space="preserve">N°CE : 227-813-5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0,19</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Asp. Tox. 1 - H304</w:t>
                                  </w:r>
                                </w:p>
                                <w:p>
                                  <w:pPr>
                                    <w:spacing w:before="0" w:after="0" w:line="160" w:lineRule="exact"/>
                                    <w:jc w:val="left"/>
                                  </w:pPr>
                                  <w:r>
                                    <w:rPr>
                                      <w:rFonts w:ascii="Arial" w:hAnsi="Arial" w:cs="Arial"/>
                                      <w:b w:val="false"/>
                                      <w:i w:val="false"/>
                                      <w:strike w:val="false"/>
                                      <w:color w:val="000000"/>
                                      <w:spacing w:val="0"/>
                                      <w:sz w:val="16"/>
                                      <w:u w:val="none"/>
                                    </w:rPr>
                                    <w:t xml:space="preserve">Flam. Liq. 3 - H226</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Isomenthone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491-07-6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207-727-4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0,12825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Coumarin</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91-64-5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202-086-7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5-Methyl-2-hepten-4-one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81925-81-7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617-270-6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0,044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Transporter la personne affectée en position allongée, en cas d'essoufflement en position semi-assise.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la peau, laver immédiatement et abondamment avec de l'eau et du savon.</w:t>
                                  </w:r>
                                </w:p>
                              </w:tc>
                            </w:tr>
                          </w:tbl>
                          <w:tbl>
                            <w:tblPr>
                              <w:tblLayout w:type="fixed"/>
                              <w:tblInd w:w="0" w:type="dxa"/>
                              <w:tblCellMar>
                                <w:left w:w="0" w:type="dxa"/>
                                <w:right w:w="0" w:type="dxa"/>
                              </w:tblCellMar>
                            </w:tblPr>
                            <w:tblGrid>
                              <w:gridCol w:w="2836"/>
                              <w:gridCol w:w="7314"/>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les vêtements contaminés et saturés.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Consulter impérativement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Enlever immédiatement les vêtement souillés, imprégnés.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les yeux, rincer à l'eau les paupières ouvertes suffisamment longtemps, puis consulter immédiatement un ophtalmologiste.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contact avec les yeux, paupière ouverte rincer immédiatement à l'eau courante 10 à 15 minutes et consulter un ophtalmologiste.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d'irritation oculaire, consulter un ophtalmologue.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soigneusement et abondamment avec une douche oculaire ou de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faire vomir.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la bouche abondamment à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principaux symptômes et effets connus sont décrits sur l'étiquette (voir section 2.2) et/ou à l'article 11</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Sable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Mousse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formation de gaz toxiques est possible pendant le chauffage ou en cas d'incendie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Collecter séparément les eaux d'extinction contaminées. Elles ne doivent pas être déversées dans les égouts.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Déplacer les récipients non endommagés hors de la zone de danger immédiat si cela peut être fait en toute sécurité.</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inhaler les gaz d'explosion et de combustion.</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Soyez prudent lorsque vous appliquez du dioxyde de carbone dans des espaces confinés. Le dioxyde de carbone peut déplacer l'oxygène.</w:t>
                                  </w:r>
                                </w:p>
                              </w:tc>
                            </w:tr>
                          </w:tbl>
                          <w:tbl>
                            <w:tblPr>
                              <w:tblLayout w:type="fixed"/>
                              <w:tblInd w:w="0" w:type="dxa"/>
                              <w:tblCellMar>
                                <w:left w:w="0" w:type="dxa"/>
                                <w:right w:w="0" w:type="dxa"/>
                              </w:tblCellMar>
                            </w:tblPr>
                            <w:tblGrid>
                              <w:gridCol w:w="2836"/>
                              <w:gridCol w:w="7314"/>
                            </w:tblGrid>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jet d'eau pour protéger le personnel et refroidir les récipients en danger.</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aération suffisante.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Evacuer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personnel.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une protection respiratoire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Mettre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pénétration dans le sol, les fossés, les égouts, les cours d'eau et les eaux souterraines.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propagation sur une large zone (par exemple, par un confinement ou des barrières pétrolières).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toute pénétration dans les égouts et les eaux publiques. Prévenir les autorités si le liquide pénètre dans les égouts ou les eaux publiques.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fuite de gaz ou de pénétration dans les cours d'eau, le sol ou les égouts, informer les autorités responsables.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que les déversements peuvent être contenus, par exemple dans des palettes de rétention ou des zones à bordures.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Veiller à ce que toutes les eaux usées soient collectées et traitées par une station d'épuration.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 p.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(par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Essuyer avec un matériau absorbant (p. ex. tissu, molleton).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Nettoyer soigneusement les objets et les zones contaminés en respectant les réglementations environnementales.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Pomper/recueillir le produit libéré dans des récipients appropriés.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mécaniquement et placer dans des conteneurs appropriés en vue de l'élimination.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Traiter les matériaux récupérés comme indiqué dans la section relative à l'élimination des déchets.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bl>
                          <w:tbl>
                            <w:tblPr>
                              <w:tblLayout w:type="fixed"/>
                              <w:tblInd w:w="0" w:type="dxa"/>
                              <w:tblCellMar>
                                <w:left w:w="0" w:type="dxa"/>
                                <w:right w:w="0" w:type="dxa"/>
                              </w:tblCellMar>
                            </w:tblPr>
                            <w:tblGrid>
                              <w:gridCol w:w="2836"/>
                              <w:gridCol w:w="5386"/>
                              <w:gridCol w:w="1928"/>
                            </w:tblGrid>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de:Contact avec la peau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des vêtements de protection individuelle (voir section 8).</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la substance uniquement dans des installations ou systèmes fermés.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d'une ventilation suffisante et d'une aspiration ponctuelle au niveau des points critiques.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seulement dans des zones bien ventilées.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Aspirer les vapeurs/aérosols directement à l'endroit où ils se forment.</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Concevoir en règle générale tous les procédés de travail de manière à exclure les risques suivants:Inhalation des vapeurs ou brouillards/aérosols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Des vapeurs inflammables peuvent s'accumuler dans l'espace libre des systèmes fermés.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 respirer les vapeurs, le brouillard, les pulvérisations et les fumées.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 peuvent former avec l'air un mélange explosif.</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vapeurs/aérosols doivent être évacués directement au point d'origine.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 laver les mains avant les pauses et après le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immédiatement tout vêtement, chaussures ou chaussettes souillés.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Laver les vêtements souillés avant de les réutiliser.</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vêtements de travail utilisés ne doivent pas être portés en-dehors de la zone de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Travailler dans des zones bien ventilées ou avec un masque respiratoire à filtre.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Maintenir le recipient vertical afin d'eviter les fuites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ventilation adéquate.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mesures techniques et l'utilisation de méthodes de travail adéquates sont prioritaires sur les équipements de protections individuelles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NBR (caoutchouc nitrile).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2836"/>
                              <w:gridCol w:w="5386"/>
                              <w:gridCol w:w="1928"/>
                            </w:tblGrid>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Appareil de protection respiratoire approprié:Appareil avec filtre à particules (EN 143)</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33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0">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Gants de protection</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33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1">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qualité des gants de protection résistants aux produits chimiques doit être choisie en fonction de la concentration et de la quantité de substances dangereuses sur le lieu de travail.</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il convient de porter des gants de protection portant le label CE avec les quatre chiffres de contrôle.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porter exclusivement des gants spécial chimie pourvus d'un marquage CE, y compris du numéro de contrôle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33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2">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les gants de protection homologués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33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3">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Pour des usages particuliers, il est recommandé de vérifier la résistance aux produits chimiques des gants de protection mentionnés ci-dessus avec le fournisseur de ces gants.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Protection du corps appropriée:blouse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33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66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Si les mesures techniques d'aspiration ou de ventilation ne sont pas possibles ou insuffisantes, il faut porter une protection respiratoire.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221"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les délais d'usure spécifiés par le fabricant.</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03"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N'utiliser que des appareils de protection respiratoire portant le symbole CE et un numéro de test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bl>
                          <w:tbl>
                            <w:tblPr>
                              <w:tblLayout w:type="fixed"/>
                              <w:tblInd w:w="0" w:type="dxa"/>
                              <w:tblCellMar>
                                <w:left w:w="0" w:type="dxa"/>
                                <w:right w:w="0" w:type="dxa"/>
                              </w:tblCellMar>
                            </w:tblPr>
                            <w:tblGrid>
                              <w:gridCol w:w="2552"/>
                              <w:gridCol w:w="2552"/>
                              <w:gridCol w:w="2552"/>
                              <w:gridCol w:w="2494"/>
                            </w:tblGrid>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bl>
                          <w:tbl>
                            <w:tblPr>
                              <w:tblLayout w:type="fixed"/>
                              <w:tblInd w:w="0" w:type="dxa"/>
                              <w:tblCellMar>
                                <w:left w:w="0" w:type="dxa"/>
                                <w:right w:w="0" w:type="dxa"/>
                              </w:tblCellMar>
                            </w:tblPr>
                            <w:tblGrid>
                              <w:gridCol w:w="2836"/>
                              <w:gridCol w:w="4536"/>
                              <w:gridCol w:w="277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Provoque une grave irritation des yeux.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Peut provoquer une réaction allergique cutanée.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bl>
                          <w:tbl>
                            <w:tblPr>
                              <w:tblLayout w:type="fixed"/>
                              <w:tblInd w:w="0" w:type="dxa"/>
                              <w:tblCellMar>
                                <w:left w:w="0" w:type="dxa"/>
                                <w:right w:w="0" w:type="dxa"/>
                              </w:tblCellMar>
                            </w:tblPr>
                            <w:tblGrid>
                              <w:gridCol w:w="2836"/>
                              <w:gridCol w:w="2268"/>
                              <w:gridCol w:w="5046"/>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Selon le règlement (UE) 2017/2100 ou le règlement (UE) 2018/605, aucune substance n'est connue pour avoir des perturbations endocriniennes</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Toxique pour la vie aquatique avec des effets à long terme.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bl>
                          <w:tbl>
                            <w:tblPr>
                              <w:tblLayout w:type="fixed"/>
                              <w:tblInd w:w="0" w:type="dxa"/>
                              <w:tblCellMar>
                                <w:left w:w="0" w:type="dxa"/>
                                <w:right w:w="0" w:type="dxa"/>
                              </w:tblCellMar>
                            </w:tblPr>
                            <w:tblGrid>
                              <w:gridCol w:w="2836"/>
                              <w:gridCol w:w="568"/>
                              <w:gridCol w:w="6748"/>
                            </w:tblGrid>
                            <w:tr>
                              <w:trPr>
                                <w:trHeight w:val="66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produit n'a pas de propriétés perturbateurs endocriniens.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conformément au Règlement 2008/98/CE en matière de déchets et déchets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des déchets conformément à la directive 2008/98/CE relative aux déchets et aux déchets dangereux.</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emballages non contaminés doivent être recyclés ou éliminés.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les emballages contaminés de la même manière que la substance elle-même.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31/05/2025</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bl>
                          <w:tbl>
                            <w:tblPr>
                              <w:tblLayout w:type="fixed"/>
                              <w:tblInd w:w="0" w:type="dxa"/>
                              <w:tblCellMar>
                                <w:left w:w="0" w:type="dxa"/>
                                <w:right w:w="0" w:type="dxa"/>
                              </w:tblCellMar>
                            </w:tblPr>
                            <w:tblGrid>
                              <w:gridCol w:w="1702"/>
                              <w:gridCol w:w="8448"/>
                            </w:tblGrid>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Asp. Tox.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par aspiration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Flam. Liq. 3</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 - Catégorie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H226</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en cas d'ingestion.</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H304</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être mortel en cas d'ingestion et de pénétration dans les voies respiratoires.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H315</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Provoque une irritation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H410</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Très 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1A</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1A</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76" name="Rectangle 27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77" name="Rectangle 27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78" name="Rectangle 27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Nuit Sylvestre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79" name="Rectangle 27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80" name="Rectangle 28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8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82" name="Rectangle 28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83" name="Rectangle 28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84" name="Rectangle 28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85" name="Rectangle 28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28976"/>
                <wp:effectExtent l="0" t="0" r="0" b="0"/>
                <wp:wrapNone/>
                <wp:docPr id="286" name="Rectangle 286"/>
                <wp:cNvGraphicFramePr/>
                <a:graphic xmlns:a="http://schemas.openxmlformats.org/drawingml/2006/main">
                  <a:graphicData uri="http://schemas.microsoft.com/office/word/2010/wordprocessingShape">
                    <wps:wsp>
                      <wps:cNvSpPr/>
                      <wps:spPr bwMode="auto">
                        <a:xfrm>
                          <a:off x="541800" y="1205640"/>
                          <a:ext cx="6508440" cy="8428976"/>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87" name="Rectangle 28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88" name="Rectangle 28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89" name="Rectangle 28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Nuit Sylvestre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90" name="Rectangle 29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91" name="Rectangle 29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29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293" name="Rectangle 29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94" name="Rectangle 29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95" name="Rectangle 29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96" name="Rectangle 29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24976"/>
                <wp:effectExtent l="0" t="0" r="0" b="0"/>
                <wp:wrapNone/>
                <wp:docPr id="297" name="Rectangle 297"/>
                <wp:cNvGraphicFramePr/>
                <a:graphic xmlns:a="http://schemas.openxmlformats.org/drawingml/2006/main">
                  <a:graphicData uri="http://schemas.microsoft.com/office/word/2010/wordprocessingShape">
                    <wps:wsp>
                      <wps:cNvSpPr/>
                      <wps:spPr bwMode="auto">
                        <a:xfrm>
                          <a:off x="541800" y="1205640"/>
                          <a:ext cx="6508440" cy="842497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98" name="Rectangle 29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99" name="Rectangle 29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00" name="Rectangle 30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Nuit Sylvestre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01" name="Rectangle 30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02" name="Rectangle 30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0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04" name="Rectangle 30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05" name="Rectangle 30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06" name="Rectangle 30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07" name="Rectangle 30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26086"/>
                <wp:effectExtent l="0" t="0" r="0" b="0"/>
                <wp:wrapNone/>
                <wp:docPr id="308" name="Rectangle 308"/>
                <wp:cNvGraphicFramePr/>
                <a:graphic xmlns:a="http://schemas.openxmlformats.org/drawingml/2006/main">
                  <a:graphicData uri="http://schemas.microsoft.com/office/word/2010/wordprocessingShape">
                    <wps:wsp>
                      <wps:cNvSpPr/>
                      <wps:spPr bwMode="auto">
                        <a:xfrm>
                          <a:off x="541800" y="1205640"/>
                          <a:ext cx="6508440" cy="822608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09" name="Rectangle 30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10" name="Rectangle 31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11" name="Rectangle 31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Nuit Sylvestre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12" name="Rectangle 31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13" name="Rectangle 31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1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15" name="Rectangle 31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16" name="Rectangle 31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17" name="Rectangle 31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18" name="Rectangle 31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959568"/>
                <wp:effectExtent l="0" t="0" r="0" b="0"/>
                <wp:wrapNone/>
                <wp:docPr id="319" name="Rectangle 319"/>
                <wp:cNvGraphicFramePr/>
                <a:graphic xmlns:a="http://schemas.openxmlformats.org/drawingml/2006/main">
                  <a:graphicData uri="http://schemas.microsoft.com/office/word/2010/wordprocessingShape">
                    <wps:wsp>
                      <wps:cNvSpPr/>
                      <wps:spPr bwMode="auto">
                        <a:xfrm>
                          <a:off x="541800" y="1205640"/>
                          <a:ext cx="6508440" cy="7959568"/>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20" name="Rectangle 32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21" name="Rectangle 32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22" name="Rectangle 32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Nuit Sylvestre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23" name="Rectangle 32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24" name="Rectangle 32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2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26" name="Rectangle 32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27" name="Rectangle 32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28" name="Rectangle 32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29" name="Rectangle 32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80252"/>
                <wp:effectExtent l="0" t="0" r="0" b="0"/>
                <wp:wrapNone/>
                <wp:docPr id="330" name="Rectangle 330"/>
                <wp:cNvGraphicFramePr/>
                <a:graphic xmlns:a="http://schemas.openxmlformats.org/drawingml/2006/main">
                  <a:graphicData uri="http://schemas.microsoft.com/office/word/2010/wordprocessingShape">
                    <wps:wsp>
                      <wps:cNvSpPr/>
                      <wps:spPr bwMode="auto">
                        <a:xfrm>
                          <a:off x="541800" y="1205640"/>
                          <a:ext cx="6508440" cy="8380252"/>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36" name="Rectangle 33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37" name="Rectangle 33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38" name="Rectangle 33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Nuit Sylvestre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39" name="Rectangle 33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40" name="Rectangle 34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4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42" name="Rectangle 34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43" name="Rectangle 34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44" name="Rectangle 34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45" name="Rectangle 34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00988"/>
                <wp:effectExtent l="0" t="0" r="0" b="0"/>
                <wp:wrapNone/>
                <wp:docPr id="346" name="Rectangle 346"/>
                <wp:cNvGraphicFramePr/>
                <a:graphic xmlns:a="http://schemas.openxmlformats.org/drawingml/2006/main">
                  <a:graphicData uri="http://schemas.microsoft.com/office/word/2010/wordprocessingShape">
                    <wps:wsp>
                      <wps:cNvSpPr/>
                      <wps:spPr bwMode="auto">
                        <a:xfrm>
                          <a:off x="541800" y="1205640"/>
                          <a:ext cx="6508440" cy="8300988"/>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47" name="Rectangle 34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48" name="Rectangle 34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49" name="Rectangle 34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Nuit Sylvestre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50" name="Rectangle 35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51" name="Rectangle 35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5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53" name="Rectangle 35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54" name="Rectangle 35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55" name="Rectangle 35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56" name="Rectangle 35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84262"/>
                <wp:effectExtent l="0" t="0" r="0" b="0"/>
                <wp:wrapNone/>
                <wp:docPr id="357" name="Rectangle 357"/>
                <wp:cNvGraphicFramePr/>
                <a:graphic xmlns:a="http://schemas.openxmlformats.org/drawingml/2006/main">
                  <a:graphicData uri="http://schemas.microsoft.com/office/word/2010/wordprocessingShape">
                    <wps:wsp>
                      <wps:cNvSpPr/>
                      <wps:spPr bwMode="auto">
                        <a:xfrm>
                          <a:off x="541800" y="1205640"/>
                          <a:ext cx="6508440" cy="8284262"/>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58" name="Rectangle 35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59" name="Rectangle 35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60" name="Rectangle 36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Nuit Sylvestre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61" name="Rectangle 36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62" name="Rectangle 36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6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64" name="Rectangle 36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65" name="Rectangle 36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66" name="Rectangle 36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67" name="Rectangle 36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21704"/>
                <wp:effectExtent l="0" t="0" r="0" b="0"/>
                <wp:wrapNone/>
                <wp:docPr id="368" name="Rectangle 368"/>
                <wp:cNvGraphicFramePr/>
                <a:graphic xmlns:a="http://schemas.openxmlformats.org/drawingml/2006/main">
                  <a:graphicData uri="http://schemas.microsoft.com/office/word/2010/wordprocessingShape">
                    <wps:wsp>
                      <wps:cNvSpPr/>
                      <wps:spPr bwMode="auto">
                        <a:xfrm>
                          <a:off x="541800" y="1205640"/>
                          <a:ext cx="6508440" cy="8421704"/>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69" name="Rectangle 36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70" name="Rectangle 37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71" name="Rectangle 37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Nuit Sylvestre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72" name="Rectangle 37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73" name="Rectangle 37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7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75" name="Rectangle 37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76" name="Rectangle 37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77" name="Rectangle 37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78" name="Rectangle 37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00644"/>
                <wp:effectExtent l="0" t="0" r="0" b="0"/>
                <wp:wrapNone/>
                <wp:docPr id="379" name="Rectangle 379"/>
                <wp:cNvGraphicFramePr/>
                <a:graphic xmlns:a="http://schemas.openxmlformats.org/drawingml/2006/main">
                  <a:graphicData uri="http://schemas.microsoft.com/office/word/2010/wordprocessingShape">
                    <wps:wsp>
                      <wps:cNvSpPr/>
                      <wps:spPr bwMode="auto">
                        <a:xfrm>
                          <a:off x="541800" y="1205640"/>
                          <a:ext cx="6508440" cy="8100644"/>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80" name="Rectangle 38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81" name="Rectangle 38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82" name="Rectangle 38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Nuit Sylvestre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83" name="Rectangle 38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84" name="Rectangle 38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8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9">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86" name="Rectangle 38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87" name="Rectangle 38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88" name="Rectangle 38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89" name="Rectangle 38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17350"/>
                <wp:effectExtent l="0" t="0" r="0" b="0"/>
                <wp:wrapNone/>
                <wp:docPr id="390" name="Rectangle 390"/>
                <wp:cNvGraphicFramePr/>
                <a:graphic xmlns:a="http://schemas.openxmlformats.org/drawingml/2006/main">
                  <a:graphicData uri="http://schemas.microsoft.com/office/word/2010/wordprocessingShape">
                    <wps:wsp>
                      <wps:cNvSpPr/>
                      <wps:spPr bwMode="auto">
                        <a:xfrm>
                          <a:off x="541800" y="1205640"/>
                          <a:ext cx="6508440" cy="8317350"/>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91" name="Rectangle 39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92" name="Rectangle 39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93" name="Rectangle 39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Nuit Sylvestre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94" name="Rectangle 39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95" name="Rectangle 39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9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0">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97" name="Rectangle 39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98" name="Rectangle 39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99" name="Rectangle 39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00" name="Rectangle 40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4695530"/>
                <wp:effectExtent l="0" t="0" r="0" b="0"/>
                <wp:wrapNone/>
                <wp:docPr id="401" name="Rectangle 401"/>
                <wp:cNvGraphicFramePr/>
                <a:graphic xmlns:a="http://schemas.openxmlformats.org/drawingml/2006/main">
                  <a:graphicData uri="http://schemas.microsoft.com/office/word/2010/wordprocessingShape">
                    <wps:wsp>
                      <wps:cNvSpPr/>
                      <wps:spPr bwMode="auto">
                        <a:xfrm>
                          <a:off x="541800" y="1205640"/>
                          <a:ext cx="6508440" cy="4695530"/>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02" name="Rectangle 40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03" name="Rectangle 40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04" name="Rectangle 40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Nuit Sylvestre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05" name="Rectangle 40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06" name="Rectangle 40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0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1">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08" name="Rectangle 40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09" name="Rectangle 40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10" name="Rectangle 4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11" name="Rectangle 4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 Type="http://schemas.openxmlformats.org/officeDocument/2006/relationships/image" Target="/media/image12.jpg" Id="rId926" /><Relationship Type="http://schemas.openxmlformats.org/officeDocument/2006/relationships/image" Target="/media/image13.jpg" Id="rId927" /><Relationship Type="http://schemas.openxmlformats.org/officeDocument/2006/relationships/image" Target="/media/image14.jpg" Id="rId928" /><Relationship Type="http://schemas.openxmlformats.org/officeDocument/2006/relationships/image" Target="/media/image15.jpg" Id="rId929" /><Relationship Type="http://schemas.openxmlformats.org/officeDocument/2006/relationships/image" Target="/media/image16.jpg" Id="rId930" /><Relationship Type="http://schemas.openxmlformats.org/officeDocument/2006/relationships/image" Target="/media/image17.jpg" Id="rId93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